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trike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Základy hry Slingo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Slingo Lucky Joker je svižná hra, kde se automaty prolínají s bingem a pro hráče jsou připraveny velké peněžní výhry.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Vyberte si sázku a stisknutím tlačítka Roztočit zahajte hru.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11194" cy="1211194"/>
            <wp:effectExtent b="0" l="0" r="0" t="0"/>
            <wp:docPr id="6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786241" cy="677794"/>
            <wp:effectExtent b="0" l="0" r="0" t="0"/>
            <wp:docPr id="70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Máte 8 roztočení na to, abyste sladili čísla na válci s herním polem.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28688" cy="928688"/>
            <wp:effectExtent b="0" l="0" r="0" t="0"/>
            <wp:docPr id="69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Skládejte řady Slingo a posouvejte se po výplatním žebříčku nahoru.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Cena se zvyšuje s každou dokončenou řadou Slingo (výherní linie).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8500" cy="2943225"/>
            <wp:effectExtent b="0" l="0" r="0" t="0"/>
            <wp:docPr id="72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0"/>
                    <a:srcRect b="11908" l="25173" r="23019"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Hra má 12 výherních linií a 11 cen v tabulce výplat, protože poslední číslo na herním poli vždy uděluje alespoň dvě výherní linie.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Symboly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  <w:t xml:space="preserve">Symboly Wild umožňují označit libovolné číslo ve sloupci nad nimi.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5240" cy="1062244"/>
            <wp:effectExtent b="0" l="0" r="0" t="0"/>
            <wp:docPr id="71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1"/>
                    <a:srcRect b="7042" l="9905" r="10377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Symboly Super Wild umožní hráčům označit libovolné číslo v herním poli.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7722" cy="1229725"/>
            <wp:effectExtent b="0" l="0" r="0" t="0"/>
            <wp:docPr id="74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12"/>
                    <a:srcRect b="11428" l="10756" r="17755" t="761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t xml:space="preserve">Symboly roztočení zdarma přidávají roztočení navíc.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1946" cy="1117112"/>
            <wp:effectExtent b="0" l="0" r="0" t="0"/>
            <wp:docPr id="7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3"/>
                    <a:srcRect b="30647" l="27065" r="28088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Za 3 symboly bonusového kola se spustí 5 roztočení bonusového kola.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7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5411" cy="1090223"/>
            <wp:effectExtent b="0" l="0" r="0" t="0"/>
            <wp:docPr id="76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80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Za 3 symboly bonusového automatu získáte 15 roztočení navíc na bonusovém automatu.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78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57275" cy="881063"/>
            <wp:effectExtent b="0" l="0" r="0" t="0"/>
            <wp:docPr id="7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8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Roztočení navíc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  <w:t xml:space="preserve">Roztočení navíc jsou dostupná po každé hře.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6500" cy="567737"/>
            <wp:effectExtent b="0" l="0" r="0" t="0"/>
            <wp:docPr id="82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6"/>
                    <a:srcRect b="1940" l="35127" r="34836" t="857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Cena každého roztočení závisí na pozici ve hře a potenciální odměně.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Ceny mohou přesahovat váš základní vklad.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Limity pro roztočení navíc můžete nastavit v ovládacích prvcích.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Stisknutím Vybrat ukončíte hru, případně si můžete koupit další roztočení.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Cena dalšího roztočení se zobrazuje na tlačítku Roztočit.</w:t>
      </w:r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Hra s cestou</w:t>
      </w:r>
    </w:p>
    <w:p w:rsidR="00000000" w:rsidDel="00000000" w:rsidP="00000000" w:rsidRDefault="00000000" w:rsidRPr="00000000" w14:paraId="00000032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Tato hra obsahuje cestu, která obklopuje herní pole Slingo. </w:t>
      </w:r>
    </w:p>
    <w:p w:rsidR="00000000" w:rsidDel="00000000" w:rsidP="00000000" w:rsidRDefault="00000000" w:rsidRPr="00000000" w14:paraId="0000003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47988" cy="2921666"/>
            <wp:effectExtent b="0" l="0" r="0" t="0"/>
            <wp:docPr id="83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7"/>
                    <a:srcRect b="11088" l="26156" r="26273"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Na herním poli jsou pevně dané pozice odměn. Jedna odměna se nachází uprostřed každé strany a jedna v pravém spodním rohu. 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  <w:t xml:space="preserve">Na začátku každé hry jsou možné odměny náhodně přiřazeny na dostupná výherní místa.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Na začátku hry se v levém horním rohu objeví kostka a žolík.</w:t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  <w:t xml:space="preserve">Při každém roztočení se žolík pohybuje po herní ploše ve směru hodinových ručiček a okamžitě udělí každou výhru, na které zůstane stát. Žolík se za jedno kolo v závislosti na hodu kostkou posune o 1–6 políček.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604.56787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19175" cy="1173595"/>
                  <wp:effectExtent b="0" l="0" r="0" t="0"/>
                  <wp:docPr id="85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147714"/>
                  <wp:effectExtent b="0" l="0" r="0" t="0"/>
                  <wp:docPr id="87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09650" cy="1165781"/>
                  <wp:effectExtent b="0" l="0" r="0" t="0"/>
                  <wp:docPr id="89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6403" cy="755513"/>
                  <wp:effectExtent b="0" l="0" r="0" t="0"/>
                  <wp:docPr id="91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Bonusové kolo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  <w:t xml:space="preserve">Bonusové kolo se spouští, když při jednom roztočení padnou 3 symboly bonusového kola nebo když na žebříčku odměn získáte 6 a více řad Slingo.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67013" cy="2810588"/>
            <wp:effectExtent b="0" l="0" r="0" t="0"/>
            <wp:docPr id="9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2"/>
                    <a:srcRect b="0" l="22511" r="221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Peněžní odměny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844724"/>
                  <wp:effectExtent b="0" l="0" r="0" t="0"/>
                  <wp:docPr id="51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9000" cy="846000"/>
                  <wp:effectExtent b="0" l="0" r="0" t="0"/>
                  <wp:docPr id="5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9134" cy="846000"/>
                  <wp:effectExtent b="0" l="0" r="0" t="0"/>
                  <wp:docPr id="5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9778" cy="846000"/>
                  <wp:effectExtent b="0" l="0" r="0" t="0"/>
                  <wp:docPr id="57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2625" cy="846000"/>
                  <wp:effectExtent b="0" l="0" r="0" t="0"/>
                  <wp:docPr id="5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4393" cy="846000"/>
                  <wp:effectExtent b="0" l="0" r="0" t="0"/>
                  <wp:docPr id="6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7287" cy="846000"/>
                  <wp:effectExtent b="0" l="0" r="0" t="0"/>
                  <wp:docPr id="6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4411" cy="846000"/>
                  <wp:effectExtent b="0" l="0" r="0" t="0"/>
                  <wp:docPr id="6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763" cy="846000"/>
                  <wp:effectExtent b="0" l="0" r="0" t="0"/>
                  <wp:docPr id="6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694" cy="846000"/>
                  <wp:effectExtent b="0" l="0" r="0" t="0"/>
                  <wp:docPr id="6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0409" cy="846000"/>
                  <wp:effectExtent b="0" l="0" r="0" t="0"/>
                  <wp:docPr id="75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  <w:t xml:space="preserve">Roztočení bonusového automatu navíc</w:t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901700"/>
            <wp:effectExtent b="0" l="0" r="0" t="0"/>
            <wp:docPr id="6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>
          <w:rtl w:val="0"/>
        </w:rPr>
        <w:t xml:space="preserve">Když vylepšíte úroveň bonusového kola, získáte šanci vyhrát větší odměny.</w:t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6104" cy="1090613"/>
            <wp:effectExtent b="0" l="0" r="0" t="0"/>
            <wp:docPr id="8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>
          <w:rtl w:val="0"/>
        </w:rPr>
        <w:t xml:space="preserve">Minimální výhra na libovolném bonusovém kole je 2× základní sázka nebo 2 roztočení automatu.</w:t>
      </w:r>
    </w:p>
    <w:p w:rsidR="00000000" w:rsidDel="00000000" w:rsidP="00000000" w:rsidRDefault="00000000" w:rsidRPr="00000000" w14:paraId="00000067">
      <w:pPr>
        <w:jc w:val="center"/>
        <w:rPr/>
      </w:pPr>
      <w:r w:rsidDel="00000000" w:rsidR="00000000" w:rsidRPr="00000000">
        <w:rPr>
          <w:rtl w:val="0"/>
        </w:rPr>
        <w:t xml:space="preserve">Maximální výhra na libovolném bonusovém kole je 250× základní sázka.</w:t>
      </w:r>
    </w:p>
    <w:p w:rsidR="00000000" w:rsidDel="00000000" w:rsidP="00000000" w:rsidRDefault="00000000" w:rsidRPr="00000000" w14:paraId="00000068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Bonusový automat</w:t>
      </w:r>
    </w:p>
    <w:p w:rsidR="00000000" w:rsidDel="00000000" w:rsidP="00000000" w:rsidRDefault="00000000" w:rsidRPr="00000000" w14:paraId="00000069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Na konci hry odehraje bonusový automat všechna udělená roztočení. Roztočení bonusového automatu získáte, když v jednom roztočení padnou 3 symboly bonusového automatu nebo když jsou tyto symboly uděleny na žebříčku odměn Slingo anebo na bonusovém kole.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Symbol žolíka Wild může padnout pouze na 3 prostředních válcích.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  <w:t xml:space="preserve">Když padne symbol žolíka Wild, rozšíří se a zaplní celý válec. Teprve potom se spočítají výhry.</w:t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1147206"/>
            <wp:effectExtent b="0" l="0" r="0" t="0"/>
            <wp:docPr id="8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36"/>
                    <a:srcRect b="11562" l="13437" r="13124" t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  <w:t xml:space="preserve">Minimální výhra na bonusovém automatu je 5× sázka na řadu.</w:t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>
          <w:rtl w:val="0"/>
        </w:rPr>
        <w:t xml:space="preserve">Maximální výhra na bonusovém automatu je 100× základní sázka.</w:t>
      </w:r>
    </w:p>
    <w:p w:rsidR="00000000" w:rsidDel="00000000" w:rsidP="00000000" w:rsidRDefault="00000000" w:rsidRPr="00000000" w14:paraId="00000072">
      <w:pPr>
        <w:pStyle w:val="Heading2"/>
        <w:jc w:val="center"/>
        <w:rPr>
          <w:rFonts w:ascii="Berkshire Swash" w:cs="Berkshire Swash" w:eastAsia="Berkshire Swash" w:hAnsi="Berkshire Swash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Výplaty za symboly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>
          <w:rtl w:val="0"/>
        </w:rPr>
        <w:t xml:space="preserve">Výherní kombinace na liniích se násobí sázkou na linii.</w:t>
      </w:r>
    </w:p>
    <w:p w:rsidR="00000000" w:rsidDel="00000000" w:rsidP="00000000" w:rsidRDefault="00000000" w:rsidRPr="00000000" w14:paraId="00000074">
      <w:pPr>
        <w:jc w:val="center"/>
        <w:rPr/>
      </w:pPr>
      <w:r w:rsidDel="00000000" w:rsidR="00000000" w:rsidRPr="00000000">
        <w:rPr>
          <w:rtl w:val="0"/>
        </w:rPr>
        <w:t xml:space="preserve">Výhry za symboly Scatter se násobí celkovou sázkou. </w:t>
      </w:r>
    </w:p>
    <w:p w:rsidR="00000000" w:rsidDel="00000000" w:rsidP="00000000" w:rsidRDefault="00000000" w:rsidRPr="00000000" w14:paraId="00000075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Výhry za symboly Scatter se vyplácejí navíc k ostatním výhrám.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/>
      </w:pPr>
      <w:r w:rsidDel="00000000" w:rsidR="00000000" w:rsidRPr="00000000">
        <w:rPr>
          <w:rtl w:val="0"/>
        </w:rPr>
        <w:t xml:space="preserve">Pokud se na výhře podílí jeden a více symbolů žolíka Wild, výhra se zdvojnásobí.</w:t>
      </w:r>
    </w:p>
    <w:tbl>
      <w:tblPr>
        <w:tblStyle w:val="Table4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57313" cy="1393669"/>
                        <wp:effectExtent b="0" l="0" r="0" t="0"/>
                        <wp:docPr id="88" name="image3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1.png"/>
                                <pic:cNvPicPr preferRelativeResize="0"/>
                              </pic:nvPicPr>
                              <pic:blipFill>
                                <a:blip r:embed="rId3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13936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500×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100×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20×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2×</w:t>
                  </w:r>
                </w:p>
              </w:tc>
            </w:tr>
          </w:tbl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90" name="image3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6.png"/>
                                <pic:cNvPicPr preferRelativeResize="0"/>
                              </pic:nvPicPr>
                              <pic:blipFill>
                                <a:blip r:embed="rId3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500×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100×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20×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2×</w:t>
                  </w:r>
                </w:p>
              </w:tc>
            </w:tr>
          </w:tbl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49" name="image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3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250×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50×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10×</w:t>
                  </w:r>
                </w:p>
              </w:tc>
            </w:tr>
          </w:tbl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0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4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250×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50×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10×</w:t>
                  </w:r>
                </w:p>
              </w:tc>
            </w:tr>
          </w:tbl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2" name="image1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9.png"/>
                                <pic:cNvPicPr preferRelativeResize="0"/>
                              </pic:nvPicPr>
                              <pic:blipFill>
                                <a:blip r:embed="rId4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50×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10×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5×</w:t>
                  </w:r>
                </w:p>
              </w:tc>
            </w:tr>
          </w:tbl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4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4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50×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10×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5×</w:t>
                  </w:r>
                </w:p>
              </w:tc>
            </w:tr>
          </w:tbl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6" name="image1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6.png"/>
                                <pic:cNvPicPr preferRelativeResize="0"/>
                              </pic:nvPicPr>
                              <pic:blipFill>
                                <a:blip r:embed="rId4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50×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10×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5×</w:t>
                  </w:r>
                </w:p>
              </w:tc>
            </w:tr>
          </w:tbl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8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4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50×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10×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5×</w:t>
                  </w:r>
                </w:p>
              </w:tc>
            </w:tr>
          </w:tbl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60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4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100×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20×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5×</w:t>
                  </w:r>
                </w:p>
              </w:tc>
            </w:tr>
          </w:tbl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pStyle w:val="Heading2"/>
        <w:jc w:val="center"/>
        <w:rPr>
          <w:rFonts w:ascii="Berkshire Swash" w:cs="Berkshire Swash" w:eastAsia="Berkshire Swash" w:hAnsi="Berkshire Swash"/>
        </w:rPr>
      </w:pPr>
      <w:bookmarkStart w:colFirst="0" w:colLast="0" w:name="_heading=h.1t3h5sf" w:id="7"/>
      <w:bookmarkEnd w:id="7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Výherní linie na automatu</w:t>
      </w:r>
    </w:p>
    <w:p w:rsidR="00000000" w:rsidDel="00000000" w:rsidP="00000000" w:rsidRDefault="00000000" w:rsidRPr="00000000" w14:paraId="000000C4">
      <w:pPr>
        <w:jc w:val="center"/>
        <w:rPr/>
      </w:pPr>
      <w:r w:rsidDel="00000000" w:rsidR="00000000" w:rsidRPr="00000000">
        <w:rPr>
          <w:rtl w:val="0"/>
        </w:rPr>
        <w:t xml:space="preserve">Na každou linii se vyplácí pouze nejvyšší výherní kombinace.</w:t>
      </w:r>
    </w:p>
    <w:p w:rsidR="00000000" w:rsidDel="00000000" w:rsidP="00000000" w:rsidRDefault="00000000" w:rsidRPr="00000000" w14:paraId="000000C5">
      <w:pPr>
        <w:jc w:val="center"/>
        <w:rPr/>
      </w:pPr>
      <w:r w:rsidDel="00000000" w:rsidR="00000000" w:rsidRPr="00000000">
        <w:rPr>
          <w:rtl w:val="0"/>
        </w:rPr>
        <w:t xml:space="preserve">Výhry ze sázkových linií se vyplácejí zleva doprava s výjimkou výher za symboly Scatter, které mohou padnout na libovolné pozici.</w:t>
      </w:r>
    </w:p>
    <w:p w:rsidR="00000000" w:rsidDel="00000000" w:rsidP="00000000" w:rsidRDefault="00000000" w:rsidRPr="00000000" w14:paraId="000000C6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Porucha ruší všechny hry a výhry.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1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Výherní linie Slingo</w:t>
      </w:r>
    </w:p>
    <w:p w:rsidR="00000000" w:rsidDel="00000000" w:rsidP="00000000" w:rsidRDefault="00000000" w:rsidRPr="00000000" w14:paraId="000000C8">
      <w:pPr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Hra má 12 výherních linií a 11 cen, protože poslední číslo na herním poli vždy uděluje alespoň dvě výherní linie.</w:t>
      </w:r>
    </w:p>
    <w:p w:rsidR="00000000" w:rsidDel="00000000" w:rsidP="00000000" w:rsidRDefault="00000000" w:rsidRPr="00000000" w14:paraId="000000C9">
      <w:pPr>
        <w:pStyle w:val="Heading1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Nejlepší strategie</w:t>
      </w:r>
    </w:p>
    <w:p w:rsidR="00000000" w:rsidDel="00000000" w:rsidP="00000000" w:rsidRDefault="00000000" w:rsidRPr="00000000" w14:paraId="000000CA">
      <w:pPr>
        <w:jc w:val="center"/>
        <w:rPr/>
      </w:pPr>
      <w:r w:rsidDel="00000000" w:rsidR="00000000" w:rsidRPr="00000000">
        <w:rPr>
          <w:rtl w:val="0"/>
        </w:rPr>
        <w:t xml:space="preserve">Nejstrategičtější je vybírat pozice pro symboly Wild a Super Wild tak, abyste se co nejvíc přiblížili k dokončení řady Slingo.</w:t>
      </w:r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/>
      </w:pPr>
      <w:r w:rsidDel="00000000" w:rsidR="00000000" w:rsidRPr="00000000">
        <w:rPr>
          <w:rtl w:val="0"/>
        </w:rPr>
        <w:t xml:space="preserve">Pokud stejná kritéria splňuje více pozic, je výhodnější vybrat pozici, která se nachází v nejvíce liniích Slingo (výherní linie).</w:t>
      </w:r>
    </w:p>
    <w:p w:rsidR="00000000" w:rsidDel="00000000" w:rsidP="00000000" w:rsidRDefault="00000000" w:rsidRPr="00000000" w14:paraId="000000C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/>
      </w:pPr>
      <w:r w:rsidDel="00000000" w:rsidR="00000000" w:rsidRPr="00000000">
        <w:rPr>
          <w:rtl w:val="0"/>
        </w:rPr>
        <w:t xml:space="preserve">Například prostřední pole má přednost, protože zasahuje do horizontálních, vertikálních i diagonálních linií. Pokud existuje více pozic se stejnými podmínkami, provede se náhodná volba.</w:t>
      </w:r>
    </w:p>
    <w:p w:rsidR="00000000" w:rsidDel="00000000" w:rsidP="00000000" w:rsidRDefault="00000000" w:rsidRPr="00000000" w14:paraId="000000CF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Ovládací prvky hry</w:t>
      </w:r>
    </w:p>
    <w:p w:rsidR="00000000" w:rsidDel="00000000" w:rsidP="00000000" w:rsidRDefault="00000000" w:rsidRPr="00000000" w14:paraId="000000D0">
      <w:pPr>
        <w:jc w:val="center"/>
        <w:rPr/>
      </w:pPr>
      <w:r w:rsidDel="00000000" w:rsidR="00000000" w:rsidRPr="00000000">
        <w:rPr>
          <w:rtl w:val="0"/>
        </w:rPr>
        <w:t xml:space="preserve">Ovládací prvky hry můžete vybrat v nabídce.</w:t>
      </w:r>
    </w:p>
    <w:p w:rsidR="00000000" w:rsidDel="00000000" w:rsidP="00000000" w:rsidRDefault="00000000" w:rsidRPr="00000000" w14:paraId="000000D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1"/>
        <w:rPr/>
      </w:pPr>
      <w:bookmarkStart w:colFirst="0" w:colLast="0" w:name="_heading=h.3rdcrjn" w:id="11"/>
      <w:bookmarkEnd w:id="11"/>
      <w:r w:rsidDel="00000000" w:rsidR="00000000" w:rsidRPr="00000000">
        <w:rPr/>
        <w:drawing>
          <wp:inline distB="114300" distT="114300" distL="114300" distR="114300">
            <wp:extent cx="2261041" cy="2458314"/>
            <wp:effectExtent b="0" l="0" r="0" t="0"/>
            <wp:docPr id="62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41" cy="2458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center"/>
        <w:rPr/>
      </w:pPr>
      <w:r w:rsidDel="00000000" w:rsidR="00000000" w:rsidRPr="00000000">
        <w:rPr>
          <w:rtl w:val="0"/>
        </w:rPr>
        <w:t xml:space="preserve">Nastavte maximální počet nabízených roztočení navíc.</w:t>
      </w:r>
    </w:p>
    <w:p w:rsidR="00000000" w:rsidDel="00000000" w:rsidP="00000000" w:rsidRDefault="00000000" w:rsidRPr="00000000" w14:paraId="000000D5">
      <w:pPr>
        <w:jc w:val="center"/>
        <w:rPr/>
      </w:pPr>
      <w:r w:rsidDel="00000000" w:rsidR="00000000" w:rsidRPr="00000000">
        <w:rPr>
          <w:rtl w:val="0"/>
        </w:rPr>
        <w:t xml:space="preserve">Nastavte maximální cenu, která se nabídne u roztočení navíc.</w:t>
      </w:r>
    </w:p>
    <w:p w:rsidR="00000000" w:rsidDel="00000000" w:rsidP="00000000" w:rsidRDefault="00000000" w:rsidRPr="00000000" w14:paraId="000000D6">
      <w:pPr>
        <w:jc w:val="center"/>
        <w:rPr/>
      </w:pPr>
      <w:r w:rsidDel="00000000" w:rsidR="00000000" w:rsidRPr="00000000">
        <w:rPr>
          <w:rtl w:val="0"/>
        </w:rPr>
        <w:t xml:space="preserve">Nastavte maximální sázku na libovolnou jednu hru.</w:t>
      </w:r>
    </w:p>
    <w:p w:rsidR="00000000" w:rsidDel="00000000" w:rsidP="00000000" w:rsidRDefault="00000000" w:rsidRPr="00000000" w14:paraId="000000D7">
      <w:pPr>
        <w:jc w:val="center"/>
        <w:rPr/>
      </w:pPr>
      <w:r w:rsidDel="00000000" w:rsidR="00000000" w:rsidRPr="00000000">
        <w:rPr>
          <w:rtl w:val="0"/>
        </w:rPr>
        <w:t xml:space="preserve">Nastavte maximální ztrátu na libovolnou jednu hru.</w:t>
      </w:r>
    </w:p>
    <w:p w:rsidR="00000000" w:rsidDel="00000000" w:rsidP="00000000" w:rsidRDefault="00000000" w:rsidRPr="00000000" w14:paraId="000000D8">
      <w:pPr>
        <w:jc w:val="center"/>
        <w:rPr/>
      </w:pPr>
      <w:r w:rsidDel="00000000" w:rsidR="00000000" w:rsidRPr="00000000">
        <w:rPr>
          <w:rtl w:val="0"/>
        </w:rPr>
        <w:t xml:space="preserve">Pokud dosáhnete kteréhokoli z nastavených limitů, hra se automaticky ukončí.</w:t>
      </w:r>
    </w:p>
    <w:p w:rsidR="00000000" w:rsidDel="00000000" w:rsidP="00000000" w:rsidRDefault="00000000" w:rsidRPr="00000000" w14:paraId="000000D9">
      <w:pPr>
        <w:pStyle w:val="Heading1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Obecná pravidla</w:t>
      </w:r>
    </w:p>
    <w:p w:rsidR="00000000" w:rsidDel="00000000" w:rsidP="00000000" w:rsidRDefault="00000000" w:rsidRPr="00000000" w14:paraId="000000DA">
      <w:pPr>
        <w:jc w:val="center"/>
        <w:rPr/>
      </w:pPr>
      <w:r w:rsidDel="00000000" w:rsidR="00000000" w:rsidRPr="00000000">
        <w:rPr>
          <w:rtl w:val="0"/>
        </w:rPr>
        <w:t xml:space="preserve">Při nejlepší strategii činí teoretická návratnost hráči (RTP) v této hře {TODO} %.</w:t>
      </w:r>
    </w:p>
    <w:p w:rsidR="00000000" w:rsidDel="00000000" w:rsidP="00000000" w:rsidRDefault="00000000" w:rsidRPr="00000000" w14:paraId="000000DB">
      <w:pPr>
        <w:jc w:val="center"/>
        <w:rPr/>
      </w:pPr>
      <w:r w:rsidDel="00000000" w:rsidR="00000000" w:rsidRPr="00000000">
        <w:rPr>
          <w:rtl w:val="0"/>
        </w:rPr>
        <w:t xml:space="preserve">Při nejlepší strategii má každé roztočení navíc teoretickou návratnost hráči (RTP) {todo} %.</w:t>
      </w:r>
    </w:p>
    <w:p w:rsidR="00000000" w:rsidDel="00000000" w:rsidP="00000000" w:rsidRDefault="00000000" w:rsidRPr="00000000" w14:paraId="000000DC">
      <w:pPr>
        <w:jc w:val="center"/>
        <w:rPr/>
      </w:pPr>
      <w:r w:rsidDel="00000000" w:rsidR="00000000" w:rsidRPr="00000000">
        <w:rPr>
          <w:rtl w:val="0"/>
        </w:rPr>
        <w:t xml:space="preserve">Symboly roztočení zdarma se po dobu roztočení navíc odstraňují z válců.</w:t>
      </w:r>
    </w:p>
    <w:p w:rsidR="00000000" w:rsidDel="00000000" w:rsidP="00000000" w:rsidRDefault="00000000" w:rsidRPr="00000000" w14:paraId="000000DD">
      <w:pPr>
        <w:jc w:val="center"/>
        <w:rPr/>
      </w:pPr>
      <w:r w:rsidDel="00000000" w:rsidR="00000000" w:rsidRPr="00000000">
        <w:rPr>
          <w:rtl w:val="0"/>
        </w:rPr>
        <w:t xml:space="preserve">V roztočení navíc vyžadují některé potenciální ceny symboly Super Wild.</w:t>
      </w:r>
    </w:p>
    <w:p w:rsidR="00000000" w:rsidDel="00000000" w:rsidP="00000000" w:rsidRDefault="00000000" w:rsidRPr="00000000" w14:paraId="000000DE">
      <w:pPr>
        <w:jc w:val="center"/>
        <w:rPr/>
      </w:pPr>
      <w:r w:rsidDel="00000000" w:rsidR="00000000" w:rsidRPr="00000000">
        <w:rPr>
          <w:rtl w:val="0"/>
        </w:rPr>
        <w:t xml:space="preserve">Roztočení navíc jsou nabízena, pouze pokud lze v dalším roztočení dosáhnout na bonus.</w:t>
      </w:r>
    </w:p>
    <w:p w:rsidR="00000000" w:rsidDel="00000000" w:rsidP="00000000" w:rsidRDefault="00000000" w:rsidRPr="00000000" w14:paraId="000000DF">
      <w:pPr>
        <w:jc w:val="center"/>
        <w:rPr/>
      </w:pPr>
      <w:r w:rsidDel="00000000" w:rsidR="00000000" w:rsidRPr="00000000">
        <w:rPr>
          <w:rtl w:val="0"/>
        </w:rPr>
        <w:t xml:space="preserve">Ceny za roztočení navíc se zaokrouhlují na nejbližší celou hodnotu, což může ovlivnit návratnost, zejména u nižších vkladů.</w:t>
      </w:r>
    </w:p>
    <w:p w:rsidR="00000000" w:rsidDel="00000000" w:rsidP="00000000" w:rsidRDefault="00000000" w:rsidRPr="00000000" w14:paraId="000000E0">
      <w:pPr>
        <w:jc w:val="center"/>
        <w:rPr/>
      </w:pPr>
      <w:r w:rsidDel="00000000" w:rsidR="00000000" w:rsidRPr="00000000">
        <w:rPr>
          <w:rtl w:val="0"/>
        </w:rPr>
        <w:t xml:space="preserve">Porucha ruší všechny hry a výhry.</w:t>
      </w:r>
    </w:p>
    <w:p w:rsidR="00000000" w:rsidDel="00000000" w:rsidP="00000000" w:rsidRDefault="00000000" w:rsidRPr="00000000" w14:paraId="000000E1">
      <w:pPr>
        <w:pStyle w:val="Heading1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Neukončené hry</w:t>
      </w:r>
    </w:p>
    <w:p w:rsidR="00000000" w:rsidDel="00000000" w:rsidP="00000000" w:rsidRDefault="00000000" w:rsidRPr="00000000" w14:paraId="000000E2">
      <w:pPr>
        <w:jc w:val="center"/>
        <w:rPr/>
      </w:pPr>
      <w:r w:rsidDel="00000000" w:rsidR="00000000" w:rsidRPr="00000000">
        <w:rPr>
          <w:rtl w:val="0"/>
        </w:rPr>
        <w:t xml:space="preserve">Neukončené hry budou automaticky ukončeny [24] h po spuštění.</w:t>
      </w:r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/>
      </w:pPr>
      <w:r w:rsidDel="00000000" w:rsidR="00000000" w:rsidRPr="00000000">
        <w:rPr>
          <w:rtl w:val="0"/>
        </w:rPr>
        <w:t xml:space="preserve">Ve všech zbývajících roztočeních činí případná rozhodnutí za hráče generátor náhodných čísel.</w:t>
      </w:r>
    </w:p>
    <w:p w:rsidR="00000000" w:rsidDel="00000000" w:rsidP="00000000" w:rsidRDefault="00000000" w:rsidRPr="00000000" w14:paraId="000000E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/>
      </w:pPr>
      <w:r w:rsidDel="00000000" w:rsidR="00000000" w:rsidRPr="00000000">
        <w:rPr>
          <w:rtl w:val="0"/>
        </w:rPr>
        <w:t xml:space="preserve">Výhry se připisují automaticky.</w:t>
      </w:r>
    </w:p>
    <w:p w:rsidR="00000000" w:rsidDel="00000000" w:rsidP="00000000" w:rsidRDefault="00000000" w:rsidRPr="00000000" w14:paraId="000000E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rkshire Swas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-CZ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8.png"/><Relationship Id="rId20" Type="http://schemas.openxmlformats.org/officeDocument/2006/relationships/image" Target="media/image32.png"/><Relationship Id="rId42" Type="http://schemas.openxmlformats.org/officeDocument/2006/relationships/image" Target="media/image1.png"/><Relationship Id="rId41" Type="http://schemas.openxmlformats.org/officeDocument/2006/relationships/image" Target="media/image19.png"/><Relationship Id="rId22" Type="http://schemas.openxmlformats.org/officeDocument/2006/relationships/image" Target="media/image39.png"/><Relationship Id="rId44" Type="http://schemas.openxmlformats.org/officeDocument/2006/relationships/image" Target="media/image4.png"/><Relationship Id="rId21" Type="http://schemas.openxmlformats.org/officeDocument/2006/relationships/image" Target="media/image29.png"/><Relationship Id="rId43" Type="http://schemas.openxmlformats.org/officeDocument/2006/relationships/image" Target="media/image16.png"/><Relationship Id="rId24" Type="http://schemas.openxmlformats.org/officeDocument/2006/relationships/image" Target="media/image6.png"/><Relationship Id="rId46" Type="http://schemas.openxmlformats.org/officeDocument/2006/relationships/image" Target="media/image21.png"/><Relationship Id="rId23" Type="http://schemas.openxmlformats.org/officeDocument/2006/relationships/image" Target="media/image17.png"/><Relationship Id="rId45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4.png"/><Relationship Id="rId26" Type="http://schemas.openxmlformats.org/officeDocument/2006/relationships/image" Target="media/image15.png"/><Relationship Id="rId25" Type="http://schemas.openxmlformats.org/officeDocument/2006/relationships/image" Target="media/image3.png"/><Relationship Id="rId28" Type="http://schemas.openxmlformats.org/officeDocument/2006/relationships/image" Target="media/image5.png"/><Relationship Id="rId27" Type="http://schemas.openxmlformats.org/officeDocument/2006/relationships/image" Target="media/image1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2.png"/><Relationship Id="rId7" Type="http://schemas.openxmlformats.org/officeDocument/2006/relationships/image" Target="media/image18.png"/><Relationship Id="rId8" Type="http://schemas.openxmlformats.org/officeDocument/2006/relationships/image" Target="media/image33.png"/><Relationship Id="rId31" Type="http://schemas.openxmlformats.org/officeDocument/2006/relationships/image" Target="media/image2.png"/><Relationship Id="rId30" Type="http://schemas.openxmlformats.org/officeDocument/2006/relationships/image" Target="media/image13.png"/><Relationship Id="rId11" Type="http://schemas.openxmlformats.org/officeDocument/2006/relationships/image" Target="media/image40.png"/><Relationship Id="rId33" Type="http://schemas.openxmlformats.org/officeDocument/2006/relationships/image" Target="media/image23.png"/><Relationship Id="rId10" Type="http://schemas.openxmlformats.org/officeDocument/2006/relationships/image" Target="media/image38.png"/><Relationship Id="rId32" Type="http://schemas.openxmlformats.org/officeDocument/2006/relationships/image" Target="media/image9.png"/><Relationship Id="rId13" Type="http://schemas.openxmlformats.org/officeDocument/2006/relationships/image" Target="media/image20.png"/><Relationship Id="rId35" Type="http://schemas.openxmlformats.org/officeDocument/2006/relationships/image" Target="media/image26.png"/><Relationship Id="rId12" Type="http://schemas.openxmlformats.org/officeDocument/2006/relationships/image" Target="media/image30.png"/><Relationship Id="rId34" Type="http://schemas.openxmlformats.org/officeDocument/2006/relationships/image" Target="media/image11.png"/><Relationship Id="rId15" Type="http://schemas.openxmlformats.org/officeDocument/2006/relationships/image" Target="media/image22.png"/><Relationship Id="rId37" Type="http://schemas.openxmlformats.org/officeDocument/2006/relationships/image" Target="media/image31.png"/><Relationship Id="rId14" Type="http://schemas.openxmlformats.org/officeDocument/2006/relationships/image" Target="media/image35.png"/><Relationship Id="rId36" Type="http://schemas.openxmlformats.org/officeDocument/2006/relationships/image" Target="media/image27.png"/><Relationship Id="rId17" Type="http://schemas.openxmlformats.org/officeDocument/2006/relationships/image" Target="media/image37.png"/><Relationship Id="rId39" Type="http://schemas.openxmlformats.org/officeDocument/2006/relationships/image" Target="media/image7.png"/><Relationship Id="rId16" Type="http://schemas.openxmlformats.org/officeDocument/2006/relationships/image" Target="media/image28.png"/><Relationship Id="rId38" Type="http://schemas.openxmlformats.org/officeDocument/2006/relationships/image" Target="media/image36.png"/><Relationship Id="rId19" Type="http://schemas.openxmlformats.org/officeDocument/2006/relationships/image" Target="media/image25.png"/><Relationship Id="rId18" Type="http://schemas.openxmlformats.org/officeDocument/2006/relationships/image" Target="media/image2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BerkshireSwa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yVzIkQUt4uZPkAx7Q0eV8PwT56w==">AMUW2mWQqa+Oj6BZ9L5LpmMSQLTR5Jco6n1/o0OF6xnQ94ovf8fLbQG0HEB5k/1mFulOv0mS0leQV4yfSRRn/SKiyTDuWM0Q7YNES/AY3/UKcg+7/ukIaenJ2Vtx7oJyLw/3QKoqqTPdSzySm0NgDbdCzFyY5/w+B2nhUszQnQPiH6u8lrsDKp+caufyTg1Z48r59rqNT+A8tUiADQXFuXLExPgFevlCxvpSDEhBbTQHFPDfwPF9Vr9u/uZCkOeShaG1anzMjZbTzo4c+EqbvaW2Mg/KC7tSRY/LhMDxFzXzouX97nlGd1tu/UUgPmZKip/kKfdOZ8P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